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6E536C">
        <w:rPr>
          <w:b/>
          <w:szCs w:val="28"/>
        </w:rPr>
        <w:t xml:space="preserve">          14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7F6243" w:rsidRDefault="007F6243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87505B"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 w:rsidR="0087505B"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8A20E6">
        <w:rPr>
          <w:szCs w:val="28"/>
        </w:rPr>
        <w:t xml:space="preserve"> одномандатного избирательного</w:t>
      </w:r>
      <w:r w:rsidR="00144752">
        <w:rPr>
          <w:szCs w:val="28"/>
        </w:rPr>
        <w:t xml:space="preserve"> округа</w:t>
      </w:r>
      <w:r w:rsidR="008A20E6">
        <w:rPr>
          <w:szCs w:val="28"/>
        </w:rPr>
        <w:t xml:space="preserve"> № </w:t>
      </w:r>
      <w:r w:rsidR="00144752">
        <w:rPr>
          <w:szCs w:val="28"/>
        </w:rPr>
        <w:t>4</w:t>
      </w:r>
      <w:r>
        <w:rPr>
          <w:szCs w:val="28"/>
        </w:rPr>
        <w:t xml:space="preserve"> </w:t>
      </w:r>
      <w:r w:rsidR="00144752">
        <w:rPr>
          <w:szCs w:val="28"/>
        </w:rPr>
        <w:t>Васильеву Анатолию Владимировичу</w:t>
      </w:r>
      <w:bookmarkStart w:id="0" w:name="_GoBack"/>
      <w:bookmarkEnd w:id="0"/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B51130">
        <w:t>» сентября 2016 года, с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766270">
        <w:rPr>
          <w:b/>
        </w:rPr>
        <w:t>й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766270"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44752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4EE0-8BE6-452B-A539-85248791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2016-09-14T07:02:00Z</dcterms:modified>
</cp:coreProperties>
</file>